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2008/432 vom 25. Juni 2010</w:t>
      </w:r>
    </w:p>
    <w:p>
      <w:r>
        <w:t>Sg Versicherungsgericht, 2010-06-25, DE</w:t>
      </w:r>
    </w:p>
    <w:p>
      <w:r>
        <w:rPr>
          <w:b/>
        </w:rPr>
        <w:t xml:space="preserve">Quelle: </w:t>
      </w:r>
      <w:r>
        <w:t>https://mcp.opencaselaw.ch/entscheid/sg_publikationen_IV 2008_432</w:t>
      </w:r>
    </w:p>
    <w:p>
      <w:r>
        <w:t>FR: SG_VERSICHERUNGSGERICHT IV 2008/432 du 25 juin 2010</w:t>
      </w:r>
    </w:p>
    <w:p>
      <w:r>
        <w:t>IT: SG_VERSICHERUNGSGERICHT IV 2008/432 del 25 giugno 2010</w:t>
      </w:r>
    </w:p>
    <w:p>
      <w:pPr>
        <w:pStyle w:val="Heading2"/>
      </w:pPr>
      <w:r>
        <w:t>Regeste</w:t>
      </w:r>
    </w:p>
    <w:p>
      <w:r>
        <w:t>Art. 28 IVG. Gutachten nicht mehr aktuell. Rückweisung zu weiteren Abklärungen und zu neuer Ermittlung des Valideneinkommens bei Versicherter, die im Zeitpunkt des Unfalls über keine Berufsausbildung verfügte und in der Folge durch IV zur Kauffrau ausgebildet wurde (Entscheid des Versicherungsgerichts des Kantons St. Gallen vom 25. Juni 2010, IV 2008/432).</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4. September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des IVG und der IVV wiedergegeben.</w:t>
      </w:r>
    </w:p>
    <w:p>
      <w:r>
        <w:rPr>
          <w:b/>
        </w:rPr>
        <w:t>E. 2.1</w:t>
      </w:r>
    </w:p>
    <w:p>
      <w:r>
        <w:t>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3.1</w:t>
      </w:r>
    </w:p>
    <w:p>
      <w:r>
        <w:t>In medizinischer Hinsicht stützt sich die angefochtene Verfügung auf das Gutachten von Dr. B.___ vom 30. August 2004 (act. G 4.2). Die Beschwerdeführerin bestreitet zu Recht nicht, dass dieses Gutachten den oben genannten Anforderungen an beweiskräftige Gutachten grundsätzlich genügt, setzt es sich doch eingehend mit den von ihr geklagten Beschwerden sowie den medizinischen Vorakten auseinander.</w:t>
      </w:r>
    </w:p>
    <w:p>
      <w:r>
        <w:rPr>
          <w:b/>
        </w:rPr>
        <w:t>E. 3.2</w:t>
      </w:r>
    </w:p>
    <w:p>
      <w:r>
        <w:t>Allerdings macht die Beschwerdeführerin geltend, Dr. B.___ habe ihr keine 75%ige Arbeitsfähigkeit attestiert. Er habe lediglich ausgeführt, dass eine Arbeitsfähigkeit von 75% unter bestimmten Voraussetzungen denkbar sei. Es handle sich somit um eine subjektive Einschätzung. Wenn eine Arbeitsfähigkeit im bestimmten Umfang denkbar sei, bedeute dies nicht, dass sie auch im angenommenen denkbaren Ausmass tatsächlich vorhanden sei. Zweifel an der subjektiven Schätzung seien insbesondere deshalb angebracht, weil das von Dr. B.___ aufgelistete Tätigkeitsprofil den Schluss auf eine Arbeitsfähigkeit von mindestens 75% nicht zulasse, da die geforderten Pausen nicht berücksichtigt worden seien. Dieser Einwand vermag nicht zu überzeugen. Dr. B.___ wurde von der Unfallversicherung ausdrücklich damit beauftragt, (u.a.) eine detaillierte Zumutbarkeitsbeurteilung der Arbeitsfähigkeit der Beschwerdeführerin in einer adaptierten Tätigkeit vorzunehmen (vgl. Ziff. 6.2 des Gutachtens). Es war denn auch Sinn und Zweck dieses Gutachtens, (u.a.) Aufschluss über die der Beschwerdeführerin noch zumutbare Arbeit zu erhalten. Daher ist davon auszugehen, dass Dr. B.___ der Beschwerdeführerin für die von ihm als zumutbar erachteten Tätigkeiten effektiv eine 75%ige Arbeitsfähigkeit attestierte, auch wenn er diese nur als "denkbar" bezeichnete. Ob die im Gutachten als zumutbar erachtete Tätigkeit als Leiterin einer Spielgruppe oder Mitarbeiterin in einem Kinderhort oder Kindergarten (die sich die Beschwerdeführerin damals gemäss eigenen Angaben durchaus vorstellen konnte) tatsächlich mit deren Einschränkungen vereinbar ist, ist vorliegend nicht von Bedeutung, zumal diese sich in der Folge zur Kauffrau ausbilden liess. Entscheidend ist vielmehr die generelle Umschreibung der Anforderungen an ein zumutbares Tätigkeitsprofil. Dr. B.___ hat in diesem Zusammenhang ausgeführt: "1. Tätigkeit, die über einen längeren Zeitraum (Tag) verteilt werden kann und mit unterschiedlicher momentaner Aktualität durchgeführt werden kann. Diese beinhaltet die Möglichkeit bei Bedarf grössere Pausen einzuschalten. 2. Tätigkeit, die einen repetitiven Charakter unter Belastung des rechten Handgelenkes aufweist. Längere Tastaturarbeiten sowie das Bedienen einer Computermaus rechts ist nicht möglich. Auch hier müsste, wenn ein Bedarf für eine solche Arbeit besteht, diese über einen längeren Zeitraum mit zum Teil grösseren Pausen verteilt werden. 3. Keine Tätigkeiten, die grob manuellen Einsatz der rechten Hand verlangt mit einer Gewichtslimite rechts zum einmaligen Heben von ca. 5 kg und repetitiv 1 kg oder weniger." Der Beurteilung der Arbeitsfähigkeit durch Dr. B.___ lag dieses Tätigkeitsprofil zugrunde, weshalb davon auszugehen ist, dass der Pausenbedarf der Beschwerdeführerin in der attestierten Restarbeitsfähigkeit von 75% berücksichtigt wurde, geht Dr. B.___ doch von einer ganztägigen Präsenz der Beschwerdeführerin am Arbeitsplatz (mit entsprechend reduzierter Leistung) aus. Diese Einschätzung erscheint plausibel, zumal sie sich in etwa mit der Beurteilung des Kantonsspitals Thurgau deckt, das im Verlaufsbericht vom 4. März 2003 (act. G 4.1.33) ausgeführt hatte, es wäre voraussichtlich eine ganztägige Arbeit mit reduzierter Leistung angezeigt, wobei diese Reduktion beim Vorliegen einer für die Beschwerdeführerin optimalen Arbeit bei maximal 30% liegen könnte.</w:t>
      </w:r>
    </w:p>
    <w:p>
      <w:r>
        <w:rPr>
          <w:b/>
        </w:rPr>
        <w:t>E. 3.3</w:t>
      </w:r>
    </w:p>
    <w:p>
      <w:r>
        <w:t>Allerdings weist die Beschwerdeführerin zu Recht auf den Umstand hin, dass das Gutachten von Dr. B.___ im Zeitpunkt des Erlasses der angefochtenen Verfügung bereits mehr als vier Jahre alt war. Zudem war es vor der Ausbildung der Beschwerdeführerin zur Kauffrau erstellt worden. Abgesehen davon, dass es sinnvoll gewesen wäre, die Arbeitsfähigkeit der Beschwerdeführerin nach abgeschlossener Ausbildung zur technischen Kauffrau nochmals zu überprüfen, ergeben sich aus den Akten Anhaltspunkte dafür, dass sich der Gesundheitszustand der Beschwerdeführerin seit der Begutachtung durch Dr. B.___ bis zum Erlass der angefochtenen Verfügung verschlechtert hat. So geht aus dem Gutachten des Inselspitals vom 12. Dezember 2008 (act. G 9.1) hervor, dass die Beschwerdeführerin seit zwei Jahren an einem Einklemmgefühl wie einer Blockade des rechten Handgelenks leidet. Diese könne zum Teil in Ruhe oder nach leichter Belastung auftreten. Selbst provozieren könne sie diese Blockade nicht; sie wisse auch nicht, wie sie zu verhindern sei. Nachts schlafe sie zeitweilig schlecht und erwache wegen krampfartiger Schmerzen ausstrahlend bis in die rechte Schulter. Tagsüber könne sie diese krampfartigen Schmerzen besser ertragen, da sie sich besser ablenken könne. Nach der letzten Operation vom 23. April 2002 bis zirka Oktober 2006 seien die Beschwerden etwa stabil gewesen. In den letzten zwei Jahren hingegen sei wieder eine leichte Verschlechterung eingetreten, seit diese Blockaden und damit verbundene krampfartige Schmerzzustände aufträten. Insgesamt werde die rechte Hand sehr schnell müde. Die Expertin stellte neu die Diagnose eines CRPS Typ I nach Retinakulumaugmentation zwischen Radius, Lunatum, Triquetrum und Scaphoid vom 03.03.2000 wegen lunotriquetraler Bandverletzung und erachtete eine neue Evaluation der Arbeitsfähigkeit in geeignetem Umfeld für angezeigt. Zwar datiert das Gutachten des Inselspitals erst nach Erlass der angefochtenen Verfügung, doch erging es nur rund drei Monate später. Zudem nimmt es ausdrücklich Bezug auf die Entwicklung des Gesundheitszustands der Beschwerdeführerin im Verlauf der letzten Jahre. Unter diesen Umständen ist davon auszugehen, dass sich der Gesundheitszustand der Beschwerdeführerin bereits vor Erlass der angefochtenen Verfügung verschlechtert hat, weshalb weitere medizinische Abklärungen angezeigt gewesen wären. Für eine Verschlechterung des Gesundheitszustands vor Verfügungserlass spricht auch der Umstand, dass der Unfallversicherer, der das Gutachten bei Dr. B.___ in Auftrag gegeben hatte, der Beschwerdeführerin seit Abschluss der beruflichen Eingliederung bzw. seit 23. März 2008 Taggelder auf der Basis einer 50%igen Arbeitsunfähigkeit ausrichtet (act. G 4.1.153).</w:t>
      </w:r>
    </w:p>
    <w:p>
      <w:r>
        <w:rPr>
          <w:b/>
        </w:rPr>
        <w:t>E. 3.4</w:t>
      </w:r>
    </w:p>
    <w:p>
      <w:r>
        <w:t>Damit basiert die angefochtene Verfügung in medizinischer Hinsicht auf einem unzureichend abgeklärten Sachverhalt. Die Verfügung ist daher aufzuheben, und die Sache ist zur ergänzenden Begutachtung an die Beschwerdegegnerin zurückzuweisen, wobei sich das neue Gutachten ausdrücklich mit der Arbeitsfähigkeit der Beschwerdeführerin als Kauffrau auseinandersetzen müssen wird.</w:t>
      </w:r>
    </w:p>
    <w:p>
      <w:r>
        <w:rPr>
          <w:b/>
        </w:rPr>
        <w:t>E. 4.1</w:t>
      </w:r>
    </w:p>
    <w:p>
      <w:r>
        <w:t>Was den Einkommensvergleich anbelangt ermittelte die Beschwerdegegnerin in der angefochtenen Verfügung ein Valideneinkommen von Fr. 54'498.-- und ein Invalideneinkommen von Fr. 42'385.--, woraus sich ein Invaliditätsgrad von 22% ergab (act. G 4.1.163). Das Valideneinkommen dürfte sie dabei aufgrund der vor der Wiederanmeldung ausgeübten Bürotätigkeit der Beschwerdeführerin im Jahr 2001 (vgl. act. G 4.1.19), aufgerechnet auf das Jahr 2008, ermittelt haben, während sie für das Invalideneinkommen auf die Angaben gemäss Lohnempfehlung KV-Schweiz (vgl. act. G 4.1.147) abgestellt hat (act. G 4.1.154-2). In der Beschwerdeantwort macht die Beschwerdegegnerin geltend, die Beschwerdeführerin habe vorgehabt, eine Ausbildung als Servicefachangestellte zu beginnen. Es sei davon auszugehen, dass sie diese Ausbildung ohne das Unfallereignis erfolgreich absolviert hätte. Entsprechend sei das Valideneinkommen anhand von Tabellenlöhnen (Sektor Gastgewerbe, Anforderungsniveau 3) zu ermitteln, was ein Valideneinkommen von Fr. 47'951.-- ergebe. Für das Invalideneinkommen dürfe gemäss bundesgerichtlicher Rechtsprechung nicht auf die unverbindlichen Salärempfehlungen des kaufmännischen Verbands abgestellt werden. Vielmehr seien auch hier Tabellenlöhne (Sektor Dienstleistungen, Anforderungsniveau 3) heranzuziehen, was einem Einkommen von Fr. 61'312.-- entspreche. Unter Berücksichtigung eines 15%igen Leidensabzugs könne die Beschwerdeführerin in einem 75%-Pensum ein Invalideneinkommen von Fr. 39'086.-- erzielen. Es resultiere ein Invaliditätsgrad von 18%. Die Beschwerdeführerin hat das in der angefochtenen Verfügung ermittelte Valideneinkommen nicht beanstandet. Demgegenüber hat sie betreffend das Invalideneinkommen geltend gemacht, es sei von den Lohnempfehlungen der KV-Schweiz für die Ostschweiz auszugehen. Zudem sei dem Invalideneinkommen eine Arbeitsfähigkeit von 50% zugrundezulegen und es sei ein Leidensabzug von 15% zu berücksichtigen. Es resultiere ein Invaliditätsgrad von 57%.</w:t>
      </w:r>
    </w:p>
    <w:p>
      <w:r>
        <w:rPr>
          <w:b/>
        </w:rPr>
        <w:t>E. 4.2</w:t>
      </w:r>
    </w:p>
    <w:p>
      <w:r>
        <w:t>Während über das Invalideneinkommen erst nach Durchführung der weiteren medizinischen Abklärungen befunden werden kann, erscheinen in Bezug auf das Valideneinkommen folgende Bemerkungen angebracht.</w:t>
      </w:r>
    </w:p>
    <w:p>
      <w:r>
        <w:rPr>
          <w:b/>
        </w:rPr>
        <w:t>E. 4.2.1</w:t>
      </w:r>
    </w:p>
    <w:p>
      <w:r>
        <w:t>Vorliegend geht aus den Akten hervor und ist im Übrigen unbestritten, dass die Beschwerdeführerin im Zeitpunkt des Unfalls über keine Berufsausbildung verfügte und eine solche in jenem Zeitpunkt auch nicht absolvierte.</w:t>
      </w:r>
    </w:p>
    <w:p>
      <w:r>
        <w:rPr>
          <w:b/>
        </w:rPr>
        <w:t>E. 4.2.2</w:t>
      </w:r>
    </w:p>
    <w:p>
      <w:r>
        <w:t>Konnte die versicherte Person wegen der Invalidität keine zureichenden beruflichen Kenntnisse erwerben, so entspricht das Erwerbseinkommen, das sie als Nichtinvalide erzielen könnte, den nach Alter abgestuften Prozentsätzen des jährlich aktualisierten Medianwerts gemäss der Lohnstrukturerhebung des Bundesamts für Statistik (Art. 26 Abs. 1 IVV). Konnte eine versicherte Person wegen der Invalidität eine begonnene berufliche Ausbildung nicht abschliessen, entspricht das Erwerbseinkommen, das sie als Nichtinvalide erzielen könnte, dem durchschnittlichen Einkommen von Erwerbstätigen im Beruf, für den die Ausbildung begonnen wurde (Art. 26 Abs. 2 IVV). Unter diese Bestimmung fallen auch Personen, die wegen der Invalidität in Bezug auf die ursprünglich beabsichtigte Ausbildung eine weniger qualifizierte Ausbildung aufnehmen mussten. Unter der beabsichtigten Ausbildung ist die Situation zu verstehen, in der eine junge Person feststehende Ausbildungspläne hat, kurz vor dieser Ausbildung jedoch invalid wird (Kreisschreiben über Invalidität und Hilflosigkeit in der Invalidenversicherung [KSIH], Stand 1. Februar 2010, Rz 3039, mit Hinweis auf ZAK 1973 S. 579).</w:t>
      </w:r>
    </w:p>
    <w:p>
      <w:r>
        <w:rPr>
          <w:b/>
        </w:rPr>
        <w:t>E. 4.2.3</w:t>
      </w:r>
    </w:p>
    <w:p>
      <w:r>
        <w:t>Nachdem die Beschwerdeführerin, wie bereits erwähnt, im Zeitpunkt des Unfalls über keine Berufsausbildung verfügte, erscheint es nicht angebracht, für das Valideneinkommen auf den von ihr zuletzt erzielten Lohn als Büroangestellte abzustellen, wie dies in der angefochtenen Verfügung getan wurde, ist doch nicht mit überwiegender Wahrscheinlichkeit anzunehmen, dass sie diese Tätigkeit im hypothetischen Gesundheitsfall (weiter) ausgeübt hätte. Auch das in der Beschwerdeantwort geltend gemachte Abstellen auf Art. 26 Abs. 2 IVV erscheint nicht angemessen. So trifft es zum einen nicht zu, dass die Beschwerdeführerin wegen der Invalidität eine in Bezug auf die ursprünglich beabsichtigte eine weniger qualifizierte Ausbildung aufnehmen musste. Zum anderen kann nicht von einem "feststehenden Ausbildungsplan" der Beschwerdeführerin ausgegangen werden, hatte die Beschwerdeführerin im Unfallzeitpunkt doch noch keine konkreten Pläne; sie hatte damals die Handelsschule begonnen und arbeitete nebenbei im Service.</w:t>
      </w:r>
    </w:p>
    <w:p>
      <w:r>
        <w:rPr>
          <w:b/>
        </w:rPr>
        <w:t>E. 4.3</w:t>
      </w:r>
    </w:p>
    <w:p>
      <w:r>
        <w:t>Im Rahmen der Rückweisung wird die Beschwerdegegnerin damit auch über die Vergleichseinkommen neu zu befinden haben. Beim Valideneinkommen wird sie dabei insbesondere prüfen müssen, ob bei der Beschwerdeführerin ein Anwendungsfall von Art. 26 Abs. 1 IVV gegeben ist.</w:t>
      </w:r>
    </w:p>
    <w:p>
      <w:r>
        <w:rPr>
          <w:b/>
        </w:rPr>
        <w:t>E. 5.1</w:t>
      </w:r>
    </w:p>
    <w:p>
      <w:r>
        <w:t>Im Sinn der obigen Erwägungen ist die Beschwerde teilweise gutzuheissen. Die angefochtene Verfügung ist aufzuheben und die Sache ist zu weiteren Abklärungen und anschliessender neuer Verfügung an die Beschwerdegegnerin zurückzuweisen.</w:t>
      </w:r>
    </w:p>
    <w:p>
      <w:r>
        <w:rPr>
          <w:b/>
        </w:rPr>
        <w:t>E. 5.2</w:t>
      </w:r>
    </w:p>
    <w:p>
      <w:r>
        <w:t>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 Dementsprechend ist der von der Beschwerdeführerin geleistete Kostenvorschuss von Fr. 600.-- zurückzuerstatten.</w:t>
      </w:r>
    </w:p>
    <w:p>
      <w:r>
        <w:rPr>
          <w:b/>
        </w:rPr>
        <w:t>E. 5.3</w:t>
      </w:r>
    </w:p>
    <w:p>
      <w:r>
        <w:t>Bei diesem Ausgang des Verfahrens hat die Beschwerdeführerin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(einschliesslich Barauslagen und Mehrwertsteuer) angemessen. Demgemäss hat das Versicherungsgericht entschieden: 1.  In teilweiser Gutheissung der Beschwerde wird die angefochtene Verfügung vom 4. September 2008 aufgehoben, und die Sache wird zu weiteren Abklärungen und anschliessender neuer Verfügung an die Beschwerdegegnerin zurückgewiesen. 2.  Die Beschwerdegegnerin bezahlt die Gerichtskosten von Fr. 600.--. Der Beschwerdeführerin wird der geleistete Kostenvorschuss von Fr. 600.--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